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C4A7B" w14:textId="6C8FE170" w:rsidR="008B5448" w:rsidRPr="002B6987" w:rsidRDefault="00FD5C57" w:rsidP="00C73BD0">
      <w:pPr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B6987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4E15CB" w:rsidRPr="002B6987">
        <w:rPr>
          <w:rFonts w:ascii="Times New Roman" w:eastAsia="標楷體" w:hAnsi="Times New Roman" w:cs="Times New Roman" w:hint="eastAsia"/>
          <w:b/>
          <w:sz w:val="32"/>
          <w:szCs w:val="32"/>
        </w:rPr>
        <w:t>我們的網友</w:t>
      </w:r>
      <w:r w:rsidRPr="002B6987">
        <w:rPr>
          <w:rFonts w:ascii="Times New Roman" w:eastAsia="標楷體" w:hAnsi="Times New Roman" w:cs="Times New Roman"/>
          <w:b/>
          <w:sz w:val="32"/>
          <w:szCs w:val="32"/>
        </w:rPr>
        <w:t>】教案格式</w:t>
      </w:r>
    </w:p>
    <w:tbl>
      <w:tblPr>
        <w:tblStyle w:val="af6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201"/>
        <w:gridCol w:w="851"/>
        <w:gridCol w:w="2497"/>
        <w:gridCol w:w="1054"/>
        <w:gridCol w:w="195"/>
        <w:gridCol w:w="1248"/>
        <w:gridCol w:w="2498"/>
      </w:tblGrid>
      <w:tr w:rsidR="0066131B" w:rsidRPr="002B6987" w14:paraId="20BE451A" w14:textId="77777777" w:rsidTr="002405E9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5392243A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領域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2497" w:type="dxa"/>
            <w:vAlign w:val="center"/>
          </w:tcPr>
          <w:p w14:paraId="2884B337" w14:textId="77777777" w:rsidR="0066131B" w:rsidRPr="002B6987" w:rsidRDefault="00C73BD0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科技領</w:t>
            </w:r>
            <w:r w:rsidRPr="002B698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域</w:t>
            </w:r>
            <w:r w:rsidRPr="002B698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／資訊</w:t>
            </w:r>
            <w:r w:rsidRPr="002B698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科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技</w:t>
            </w:r>
          </w:p>
        </w:tc>
        <w:tc>
          <w:tcPr>
            <w:tcW w:w="2497" w:type="dxa"/>
            <w:gridSpan w:val="3"/>
            <w:shd w:val="clear" w:color="auto" w:fill="D9D9D9"/>
            <w:vAlign w:val="center"/>
          </w:tcPr>
          <w:p w14:paraId="05DC1F46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設計者</w:t>
            </w:r>
          </w:p>
        </w:tc>
        <w:tc>
          <w:tcPr>
            <w:tcW w:w="2498" w:type="dxa"/>
            <w:vAlign w:val="center"/>
          </w:tcPr>
          <w:p w14:paraId="68A86F2F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國立陽明交通大學</w:t>
            </w:r>
          </w:p>
        </w:tc>
      </w:tr>
      <w:tr w:rsidR="0066131B" w:rsidRPr="002B6987" w14:paraId="0FDF902D" w14:textId="77777777" w:rsidTr="002405E9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3E6DC6EB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適用年級</w:t>
            </w:r>
          </w:p>
        </w:tc>
        <w:tc>
          <w:tcPr>
            <w:tcW w:w="2497" w:type="dxa"/>
            <w:vAlign w:val="center"/>
          </w:tcPr>
          <w:p w14:paraId="1475025C" w14:textId="77777777" w:rsidR="0066131B" w:rsidRPr="002B6987" w:rsidRDefault="00C73BD0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國中七至九年級</w:t>
            </w:r>
          </w:p>
        </w:tc>
        <w:tc>
          <w:tcPr>
            <w:tcW w:w="2497" w:type="dxa"/>
            <w:gridSpan w:val="3"/>
            <w:shd w:val="clear" w:color="auto" w:fill="D9D9D9"/>
            <w:vAlign w:val="center"/>
          </w:tcPr>
          <w:p w14:paraId="67E846DB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總節數</w:t>
            </w:r>
            <w:proofErr w:type="gramEnd"/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與時間</w:t>
            </w:r>
          </w:p>
        </w:tc>
        <w:tc>
          <w:tcPr>
            <w:tcW w:w="2498" w:type="dxa"/>
            <w:vAlign w:val="center"/>
          </w:tcPr>
          <w:p w14:paraId="54F32BAE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節課，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45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分鐘</w:t>
            </w:r>
          </w:p>
        </w:tc>
      </w:tr>
      <w:tr w:rsidR="0066131B" w:rsidRPr="002B6987" w14:paraId="0B115B02" w14:textId="77777777" w:rsidTr="00962AC3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0EAAB949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單元名稱</w:t>
            </w:r>
          </w:p>
        </w:tc>
        <w:tc>
          <w:tcPr>
            <w:tcW w:w="7492" w:type="dxa"/>
            <w:gridSpan w:val="5"/>
            <w:vAlign w:val="center"/>
          </w:tcPr>
          <w:p w14:paraId="4692DC11" w14:textId="2947D072" w:rsidR="0066131B" w:rsidRPr="002B6987" w:rsidRDefault="004E15C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我們的網友</w:t>
            </w:r>
          </w:p>
        </w:tc>
      </w:tr>
      <w:tr w:rsidR="0066131B" w:rsidRPr="002B6987" w14:paraId="5F5CD43E" w14:textId="77777777" w:rsidTr="00962AC3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33DD259B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設計理念</w:t>
            </w:r>
          </w:p>
          <w:p w14:paraId="45F888E5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（可包含數位工具與生成式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AI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之應用及使用規範）</w:t>
            </w:r>
          </w:p>
        </w:tc>
        <w:tc>
          <w:tcPr>
            <w:tcW w:w="7492" w:type="dxa"/>
            <w:gridSpan w:val="5"/>
            <w:vAlign w:val="center"/>
          </w:tcPr>
          <w:p w14:paraId="6AA88E02" w14:textId="246AAB75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藉由實際教學引導，使學生對於「</w:t>
            </w:r>
            <w:r w:rsidR="00E92313" w:rsidRPr="002B698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網路</w:t>
            </w:r>
            <w:r w:rsidR="003236D5" w:rsidRPr="002B698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交友</w:t>
            </w: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」有基本認知。透過活潑的動畫教材引發學生學習興趣，</w:t>
            </w:r>
            <w:r w:rsidR="008B3C44" w:rsidRPr="002B698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搭配學習單及課堂討論，除有效確認學生學習效果外，更可扎根學生正確數位素養。</w:t>
            </w:r>
          </w:p>
        </w:tc>
      </w:tr>
      <w:tr w:rsidR="0066131B" w:rsidRPr="002B6987" w14:paraId="50F55D2C" w14:textId="77777777" w:rsidTr="00962AC3">
        <w:trPr>
          <w:trHeight w:val="20"/>
        </w:trPr>
        <w:tc>
          <w:tcPr>
            <w:tcW w:w="9596" w:type="dxa"/>
            <w:gridSpan w:val="8"/>
            <w:shd w:val="clear" w:color="auto" w:fill="D9D9D9"/>
          </w:tcPr>
          <w:p w14:paraId="07472F7C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設計依據</w:t>
            </w:r>
          </w:p>
        </w:tc>
      </w:tr>
      <w:tr w:rsidR="0066131B" w:rsidRPr="002B6987" w14:paraId="61DF21C3" w14:textId="77777777" w:rsidTr="00962AC3">
        <w:trPr>
          <w:trHeight w:val="20"/>
        </w:trPr>
        <w:tc>
          <w:tcPr>
            <w:tcW w:w="2104" w:type="dxa"/>
            <w:gridSpan w:val="3"/>
            <w:vMerge w:val="restart"/>
            <w:shd w:val="clear" w:color="auto" w:fill="D9D9D9"/>
            <w:vAlign w:val="center"/>
          </w:tcPr>
          <w:p w14:paraId="70043281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核心素養</w:t>
            </w:r>
          </w:p>
        </w:tc>
        <w:tc>
          <w:tcPr>
            <w:tcW w:w="3746" w:type="dxa"/>
            <w:gridSpan w:val="3"/>
            <w:vAlign w:val="center"/>
          </w:tcPr>
          <w:p w14:paraId="6C1270AD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總綱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群科</w:t>
            </w:r>
          </w:p>
          <w:p w14:paraId="1A7999C1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（視課程性質選用）</w:t>
            </w:r>
          </w:p>
        </w:tc>
        <w:tc>
          <w:tcPr>
            <w:tcW w:w="3746" w:type="dxa"/>
            <w:gridSpan w:val="2"/>
            <w:vAlign w:val="center"/>
          </w:tcPr>
          <w:p w14:paraId="460C5329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呼應之數位素養</w:t>
            </w:r>
          </w:p>
        </w:tc>
      </w:tr>
      <w:tr w:rsidR="0066131B" w:rsidRPr="002B6987" w14:paraId="106AB548" w14:textId="77777777" w:rsidTr="00962AC3">
        <w:trPr>
          <w:trHeight w:val="20"/>
        </w:trPr>
        <w:tc>
          <w:tcPr>
            <w:tcW w:w="2104" w:type="dxa"/>
            <w:gridSpan w:val="3"/>
            <w:vMerge/>
            <w:shd w:val="clear" w:color="auto" w:fill="D9D9D9"/>
          </w:tcPr>
          <w:p w14:paraId="481F15D3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3"/>
          </w:tcPr>
          <w:p w14:paraId="6B950D47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A2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系統思考與解決問題</w:t>
            </w:r>
          </w:p>
          <w:p w14:paraId="502B3D86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-J-A2 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運用科技工具，理解與歸納問題，進而提出簡易的解決之道。</w:t>
            </w:r>
          </w:p>
          <w:p w14:paraId="25E42AB4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3D46F9E2" w14:textId="77777777" w:rsidR="009B6DF7" w:rsidRPr="002B6987" w:rsidRDefault="009B6DF7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B1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符號運用與溝通表達</w:t>
            </w:r>
          </w:p>
          <w:p w14:paraId="66ED194F" w14:textId="77777777" w:rsidR="0066131B" w:rsidRPr="002B6987" w:rsidRDefault="00ED64D4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-J-B1 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具備運用科技符號與運算思維進行日常生活的表達與溝通。</w:t>
            </w:r>
          </w:p>
          <w:p w14:paraId="30F0CD1B" w14:textId="77777777" w:rsidR="00ED64D4" w:rsidRPr="002B6987" w:rsidRDefault="00ED64D4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  <w:p w14:paraId="20F963BF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C1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道德實踐與公民意識</w:t>
            </w:r>
          </w:p>
          <w:p w14:paraId="1A744F2F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-J-C1 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理解科技與人文議題，培養科技發展衍生之守法觀念與公民意識。</w:t>
            </w:r>
          </w:p>
        </w:tc>
        <w:tc>
          <w:tcPr>
            <w:tcW w:w="3746" w:type="dxa"/>
            <w:gridSpan w:val="2"/>
          </w:tcPr>
          <w:p w14:paraId="7B0E8BC6" w14:textId="459933DE" w:rsidR="0066131B" w:rsidRPr="002B6987" w:rsidRDefault="00626012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■</w:t>
            </w:r>
            <w:r w:rsidR="0066131B"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數位安全、法規與倫理</w:t>
            </w:r>
          </w:p>
          <w:p w14:paraId="137D7D80" w14:textId="0831B32A" w:rsidR="00F93F61" w:rsidRPr="002B6987" w:rsidRDefault="00F93F61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理解數位環境中的設備、內容、個人數據和隱私</w:t>
            </w: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；</w:t>
            </w:r>
            <w:r w:rsidRPr="002B698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保護身心健康，並了解數位科技對社會福祉、社會包容，以及環境的影響。</w:t>
            </w:r>
          </w:p>
          <w:p w14:paraId="781512A1" w14:textId="77777777" w:rsidR="0066131B" w:rsidRPr="002B6987" w:rsidRDefault="00ED64D4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□ </w:t>
            </w:r>
            <w:r w:rsidR="0066131B"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數位技能與資料處理</w:t>
            </w:r>
          </w:p>
          <w:p w14:paraId="5B789350" w14:textId="77777777" w:rsidR="0066131B" w:rsidRPr="002B6987" w:rsidRDefault="00ED64D4" w:rsidP="000E25B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■ </w:t>
            </w:r>
            <w:r w:rsidR="0066131B"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數位溝通、合作與問題解決</w:t>
            </w:r>
          </w:p>
          <w:p w14:paraId="3BB84266" w14:textId="77777777" w:rsidR="00FD345B" w:rsidRPr="002B6987" w:rsidRDefault="00482601" w:rsidP="000E25B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正確使用數位技術進行互動、溝通和合作，並了解文化和世代多樣性；透過公共和私人網路服務，參與社會，成為良好的數位公民；管理個人的數位身分和聲譽；識別資訊需求和問題，並解決數位環境中生活與學習問題。</w:t>
            </w:r>
          </w:p>
          <w:p w14:paraId="4A0A83AF" w14:textId="3C0BF147" w:rsidR="0066131B" w:rsidRPr="002B6987" w:rsidRDefault="00626012" w:rsidP="000E25B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□</w:t>
            </w:r>
            <w:r w:rsidR="00A57A70"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66131B"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數位</w:t>
            </w:r>
            <w:proofErr w:type="gramStart"/>
            <w:r w:rsidR="0066131B"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內容識讀與</w:t>
            </w:r>
            <w:proofErr w:type="gramEnd"/>
            <w:r w:rsidR="0066131B"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創作</w:t>
            </w:r>
          </w:p>
        </w:tc>
      </w:tr>
      <w:tr w:rsidR="0066131B" w:rsidRPr="002B6987" w14:paraId="265C9640" w14:textId="77777777" w:rsidTr="00962AC3">
        <w:trPr>
          <w:trHeight w:val="20"/>
        </w:trPr>
        <w:tc>
          <w:tcPr>
            <w:tcW w:w="9596" w:type="dxa"/>
            <w:gridSpan w:val="8"/>
            <w:shd w:val="clear" w:color="auto" w:fill="D9D9D9"/>
          </w:tcPr>
          <w:p w14:paraId="68B9436D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領域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u w:val="single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u w:val="single"/>
              </w:rPr>
              <w:t>科目</w:t>
            </w:r>
          </w:p>
        </w:tc>
      </w:tr>
      <w:tr w:rsidR="0066131B" w:rsidRPr="002B6987" w14:paraId="5027CFF3" w14:textId="77777777" w:rsidTr="00962AC3">
        <w:trPr>
          <w:trHeight w:val="20"/>
        </w:trPr>
        <w:tc>
          <w:tcPr>
            <w:tcW w:w="1052" w:type="dxa"/>
            <w:vMerge w:val="restart"/>
            <w:shd w:val="clear" w:color="auto" w:fill="D9D9D9"/>
            <w:vAlign w:val="center"/>
          </w:tcPr>
          <w:p w14:paraId="48FCCD12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</w:p>
          <w:p w14:paraId="255411BE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重點</w:t>
            </w: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25397693" w14:textId="284B18F2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2B6987"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表現</w:t>
            </w:r>
          </w:p>
        </w:tc>
        <w:tc>
          <w:tcPr>
            <w:tcW w:w="7492" w:type="dxa"/>
            <w:gridSpan w:val="5"/>
            <w:vAlign w:val="center"/>
          </w:tcPr>
          <w:p w14:paraId="2886A2FF" w14:textId="77777777" w:rsidR="0066131B" w:rsidRPr="002B6987" w:rsidRDefault="0066131B" w:rsidP="00962AC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運</w:t>
            </w: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a-IV-2 </w:t>
            </w: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能了解資訊科技相關之法律、倫理及社會議題，以保護自己與尊重他人。</w:t>
            </w:r>
          </w:p>
        </w:tc>
      </w:tr>
      <w:tr w:rsidR="0066131B" w:rsidRPr="002B6987" w14:paraId="1E051B13" w14:textId="77777777" w:rsidTr="00962AC3">
        <w:trPr>
          <w:trHeight w:val="20"/>
        </w:trPr>
        <w:tc>
          <w:tcPr>
            <w:tcW w:w="1052" w:type="dxa"/>
            <w:vMerge/>
            <w:shd w:val="clear" w:color="auto" w:fill="D9D9D9"/>
            <w:vAlign w:val="center"/>
          </w:tcPr>
          <w:p w14:paraId="226189C7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D9D9D9"/>
            <w:vAlign w:val="center"/>
          </w:tcPr>
          <w:p w14:paraId="12EF4B5F" w14:textId="6408B592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</w:t>
            </w:r>
            <w:r w:rsidR="002B6987"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br/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7492" w:type="dxa"/>
            <w:gridSpan w:val="5"/>
            <w:vAlign w:val="center"/>
          </w:tcPr>
          <w:p w14:paraId="721801AC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資</w:t>
            </w: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H-IV-6</w:t>
            </w: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資訊科技對人類生活之影響。</w:t>
            </w:r>
          </w:p>
        </w:tc>
      </w:tr>
      <w:tr w:rsidR="0066131B" w:rsidRPr="002B6987" w14:paraId="1D5D2842" w14:textId="77777777" w:rsidTr="00962AC3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44EC6305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議題融入</w:t>
            </w:r>
          </w:p>
        </w:tc>
        <w:tc>
          <w:tcPr>
            <w:tcW w:w="7492" w:type="dxa"/>
            <w:gridSpan w:val="5"/>
          </w:tcPr>
          <w:p w14:paraId="3B9F9CB8" w14:textId="77777777" w:rsidR="009B6DF7" w:rsidRPr="002B6987" w:rsidRDefault="009B6DF7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人權教育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環境教育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海洋教育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品德教育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生命教育</w:t>
            </w:r>
          </w:p>
          <w:p w14:paraId="754C19E1" w14:textId="77777777" w:rsidR="009B6DF7" w:rsidRPr="002B6987" w:rsidRDefault="009B6DF7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法治教育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■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科技教育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■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資訊教育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能源教育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安全教育</w:t>
            </w:r>
          </w:p>
          <w:p w14:paraId="0389C12E" w14:textId="77777777" w:rsidR="009B6DF7" w:rsidRPr="002B6987" w:rsidRDefault="009B6DF7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防災教育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閱讀素養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國際教育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家庭教育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原住民教育</w:t>
            </w:r>
          </w:p>
          <w:p w14:paraId="56C4BFAD" w14:textId="71097264" w:rsidR="009B6DF7" w:rsidRPr="002B6987" w:rsidRDefault="009B6DF7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戶外教育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多元文化教育</w:t>
            </w:r>
            <w:r w:rsidR="008B77CE"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性別平等教育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生涯規劃教育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4FA3201" w14:textId="77777777" w:rsidR="0066131B" w:rsidRPr="002B6987" w:rsidRDefault="009B6DF7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無</w:t>
            </w:r>
          </w:p>
        </w:tc>
      </w:tr>
      <w:tr w:rsidR="0066131B" w:rsidRPr="002B6987" w14:paraId="00952B53" w14:textId="77777777" w:rsidTr="00962AC3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19DE21ED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lastRenderedPageBreak/>
              <w:t>與其他領域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科目的連結</w:t>
            </w:r>
          </w:p>
        </w:tc>
        <w:tc>
          <w:tcPr>
            <w:tcW w:w="7492" w:type="dxa"/>
            <w:gridSpan w:val="5"/>
            <w:vAlign w:val="center"/>
          </w:tcPr>
          <w:p w14:paraId="2988CFB5" w14:textId="070341B2" w:rsidR="003113C6" w:rsidRPr="002B6987" w:rsidRDefault="008B77CE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66131B" w:rsidRPr="002B6987" w14:paraId="01AD0D0D" w14:textId="77777777" w:rsidTr="00962AC3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75ABB716" w14:textId="77777777" w:rsidR="00EE335E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教材來源</w:t>
            </w:r>
          </w:p>
          <w:p w14:paraId="579BC014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參考資料</w:t>
            </w:r>
          </w:p>
        </w:tc>
        <w:tc>
          <w:tcPr>
            <w:tcW w:w="7492" w:type="dxa"/>
            <w:gridSpan w:val="5"/>
            <w:vAlign w:val="center"/>
          </w:tcPr>
          <w:p w14:paraId="13A6D103" w14:textId="06F8CA64" w:rsidR="00C73BD0" w:rsidRPr="002B6987" w:rsidRDefault="009621F8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無</w:t>
            </w:r>
          </w:p>
        </w:tc>
      </w:tr>
      <w:tr w:rsidR="0066131B" w:rsidRPr="002B6987" w14:paraId="636BBACB" w14:textId="77777777" w:rsidTr="00962AC3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66DA5E99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教學設備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資源</w:t>
            </w:r>
          </w:p>
        </w:tc>
        <w:tc>
          <w:tcPr>
            <w:tcW w:w="7492" w:type="dxa"/>
            <w:gridSpan w:val="5"/>
            <w:vAlign w:val="center"/>
          </w:tcPr>
          <w:p w14:paraId="626BFA3C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電腦、投影設備或觸控螢幕。</w:t>
            </w:r>
          </w:p>
        </w:tc>
      </w:tr>
      <w:tr w:rsidR="0066131B" w:rsidRPr="002B6987" w14:paraId="4C6BA238" w14:textId="77777777" w:rsidTr="00962AC3">
        <w:trPr>
          <w:trHeight w:val="20"/>
        </w:trPr>
        <w:tc>
          <w:tcPr>
            <w:tcW w:w="2104" w:type="dxa"/>
            <w:gridSpan w:val="3"/>
            <w:shd w:val="clear" w:color="auto" w:fill="D9D9D9"/>
          </w:tcPr>
          <w:p w14:paraId="36E9E646" w14:textId="77777777" w:rsidR="0066131B" w:rsidRPr="002B6987" w:rsidRDefault="0066131B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學生數位學習背景</w:t>
            </w:r>
          </w:p>
        </w:tc>
        <w:tc>
          <w:tcPr>
            <w:tcW w:w="7492" w:type="dxa"/>
            <w:gridSpan w:val="5"/>
            <w:vAlign w:val="center"/>
          </w:tcPr>
          <w:p w14:paraId="4633CDD1" w14:textId="77777777" w:rsidR="0066131B" w:rsidRPr="002B6987" w:rsidRDefault="00CE6724" w:rsidP="00962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手機、平板、電腦等網際網路操作與使用經驗。</w:t>
            </w:r>
          </w:p>
        </w:tc>
      </w:tr>
      <w:tr w:rsidR="0066131B" w:rsidRPr="002B6987" w14:paraId="19674066" w14:textId="77777777" w:rsidTr="00962AC3">
        <w:trPr>
          <w:trHeight w:val="20"/>
        </w:trPr>
        <w:tc>
          <w:tcPr>
            <w:tcW w:w="2104" w:type="dxa"/>
            <w:gridSpan w:val="3"/>
            <w:vMerge w:val="restart"/>
            <w:shd w:val="clear" w:color="auto" w:fill="D9D9D9"/>
            <w:vAlign w:val="center"/>
          </w:tcPr>
          <w:p w14:paraId="583B0945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學習目標</w:t>
            </w:r>
          </w:p>
        </w:tc>
        <w:tc>
          <w:tcPr>
            <w:tcW w:w="3746" w:type="dxa"/>
            <w:gridSpan w:val="3"/>
            <w:vMerge w:val="restart"/>
          </w:tcPr>
          <w:p w14:paraId="75EC3014" w14:textId="77777777" w:rsidR="00C809DA" w:rsidRPr="002B6987" w:rsidRDefault="00563C41" w:rsidP="000E25B8">
            <w:pPr>
              <w:pStyle w:val="ab"/>
              <w:numPr>
                <w:ilvl w:val="0"/>
                <w:numId w:val="3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了解並知道網路交友可能產生的問題。</w:t>
            </w:r>
          </w:p>
          <w:p w14:paraId="4CA41451" w14:textId="2E7C699B" w:rsidR="00135CD5" w:rsidRPr="002B6987" w:rsidRDefault="00C81435" w:rsidP="000E25B8">
            <w:pPr>
              <w:pStyle w:val="ab"/>
              <w:numPr>
                <w:ilvl w:val="0"/>
                <w:numId w:val="37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能</w:t>
            </w:r>
            <w:r w:rsidR="00480173" w:rsidRPr="002B698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列出網路交友應注意之事項。</w:t>
            </w:r>
          </w:p>
        </w:tc>
        <w:tc>
          <w:tcPr>
            <w:tcW w:w="3746" w:type="dxa"/>
            <w:gridSpan w:val="2"/>
            <w:shd w:val="clear" w:color="auto" w:fill="D9D9D9"/>
            <w:vAlign w:val="center"/>
          </w:tcPr>
          <w:p w14:paraId="65D78DC9" w14:textId="0AC67C78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數位教學策略</w:t>
            </w:r>
          </w:p>
        </w:tc>
      </w:tr>
      <w:tr w:rsidR="0066131B" w:rsidRPr="002B6987" w14:paraId="3206BCE5" w14:textId="77777777" w:rsidTr="00962AC3">
        <w:trPr>
          <w:trHeight w:val="20"/>
        </w:trPr>
        <w:tc>
          <w:tcPr>
            <w:tcW w:w="2104" w:type="dxa"/>
            <w:gridSpan w:val="3"/>
            <w:vMerge/>
            <w:shd w:val="clear" w:color="auto" w:fill="D9D9D9"/>
            <w:vAlign w:val="center"/>
          </w:tcPr>
          <w:p w14:paraId="291E3D82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3"/>
            <w:vMerge/>
          </w:tcPr>
          <w:p w14:paraId="082A5D67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</w:tcPr>
          <w:p w14:paraId="5C4DDC3B" w14:textId="643380C1" w:rsidR="0066131B" w:rsidRPr="002B6987" w:rsidRDefault="00CE6724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教學設計中將運用觸控螢幕播放影片，結合學習單、課堂口語討論的形式進</w:t>
            </w:r>
            <w:r w:rsidR="00567DC4" w:rsidRPr="002B698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</w:rPr>
              <w:t>行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教學。</w:t>
            </w:r>
          </w:p>
        </w:tc>
      </w:tr>
      <w:tr w:rsidR="0066131B" w:rsidRPr="002B6987" w14:paraId="0D270112" w14:textId="77777777" w:rsidTr="00962AC3">
        <w:trPr>
          <w:trHeight w:val="20"/>
        </w:trPr>
        <w:tc>
          <w:tcPr>
            <w:tcW w:w="2104" w:type="dxa"/>
            <w:gridSpan w:val="3"/>
            <w:vMerge/>
            <w:shd w:val="clear" w:color="auto" w:fill="D9D9D9"/>
            <w:vAlign w:val="center"/>
          </w:tcPr>
          <w:p w14:paraId="47896187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3"/>
            <w:vMerge/>
          </w:tcPr>
          <w:p w14:paraId="7C6F44B1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shd w:val="clear" w:color="auto" w:fill="D9D9D9"/>
            <w:vAlign w:val="center"/>
          </w:tcPr>
          <w:p w14:paraId="69E4E4B6" w14:textId="7BA1C16F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混成學習設計</w:t>
            </w:r>
          </w:p>
        </w:tc>
      </w:tr>
      <w:tr w:rsidR="0066131B" w:rsidRPr="002B6987" w14:paraId="025C464C" w14:textId="77777777" w:rsidTr="00962AC3">
        <w:trPr>
          <w:trHeight w:val="20"/>
        </w:trPr>
        <w:tc>
          <w:tcPr>
            <w:tcW w:w="2104" w:type="dxa"/>
            <w:gridSpan w:val="3"/>
            <w:vMerge/>
            <w:shd w:val="clear" w:color="auto" w:fill="D9D9D9"/>
            <w:vAlign w:val="center"/>
          </w:tcPr>
          <w:p w14:paraId="2C60D90C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3"/>
            <w:vMerge/>
          </w:tcPr>
          <w:p w14:paraId="1A735C1B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6" w:type="dxa"/>
            <w:gridSpan w:val="2"/>
          </w:tcPr>
          <w:p w14:paraId="56A13ADE" w14:textId="77777777" w:rsidR="0066131B" w:rsidRPr="002B6987" w:rsidRDefault="00CE6724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學生觀看完多媒體教材後，教師於課堂中帶領學生填寫學習單。</w:t>
            </w:r>
          </w:p>
        </w:tc>
      </w:tr>
      <w:tr w:rsidR="0066131B" w:rsidRPr="002B6987" w14:paraId="3781786D" w14:textId="77777777" w:rsidTr="00962AC3">
        <w:trPr>
          <w:trHeight w:val="20"/>
        </w:trPr>
        <w:tc>
          <w:tcPr>
            <w:tcW w:w="2104" w:type="dxa"/>
            <w:gridSpan w:val="3"/>
            <w:shd w:val="clear" w:color="auto" w:fill="D9D9D9"/>
            <w:vAlign w:val="center"/>
          </w:tcPr>
          <w:p w14:paraId="29017773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情境脈絡</w:t>
            </w:r>
          </w:p>
          <w:p w14:paraId="38504634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（</w:t>
            </w:r>
            <w:proofErr w:type="gramEnd"/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生活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時事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議題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學術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..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492" w:type="dxa"/>
            <w:gridSpan w:val="5"/>
            <w:vAlign w:val="center"/>
          </w:tcPr>
          <w:p w14:paraId="25284F36" w14:textId="77777777" w:rsidR="004249C1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課程架構圖</w:t>
            </w:r>
          </w:p>
          <w:p w14:paraId="7AA2180C" w14:textId="7ABF4ABB" w:rsidR="0083246F" w:rsidRPr="002B6987" w:rsidRDefault="00BD38B5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BD38B5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17A2EC42" wp14:editId="1C176463">
                  <wp:extent cx="4277596" cy="4508390"/>
                  <wp:effectExtent l="0" t="0" r="889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574" cy="4538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31B" w:rsidRPr="002B6987" w14:paraId="7847CF84" w14:textId="77777777" w:rsidTr="00962AC3">
        <w:trPr>
          <w:trHeight w:val="20"/>
        </w:trPr>
        <w:tc>
          <w:tcPr>
            <w:tcW w:w="9596" w:type="dxa"/>
            <w:gridSpan w:val="8"/>
            <w:shd w:val="clear" w:color="auto" w:fill="D9D9D9"/>
            <w:vAlign w:val="center"/>
          </w:tcPr>
          <w:p w14:paraId="7CF5AF02" w14:textId="160A5C29" w:rsidR="0066131B" w:rsidRPr="002B6987" w:rsidRDefault="00C73BD0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lastRenderedPageBreak/>
              <w:t>教學活動設計</w:t>
            </w:r>
          </w:p>
        </w:tc>
      </w:tr>
      <w:tr w:rsidR="0066131B" w:rsidRPr="002B6987" w14:paraId="3D6ACECA" w14:textId="77777777" w:rsidTr="00962AC3">
        <w:trPr>
          <w:trHeight w:val="20"/>
        </w:trPr>
        <w:tc>
          <w:tcPr>
            <w:tcW w:w="1253" w:type="dxa"/>
            <w:gridSpan w:val="2"/>
            <w:vMerge w:val="restart"/>
            <w:shd w:val="clear" w:color="auto" w:fill="auto"/>
            <w:vAlign w:val="center"/>
          </w:tcPr>
          <w:p w14:paraId="75F0FB74" w14:textId="44D1FDFF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節</w:t>
            </w:r>
          </w:p>
        </w:tc>
        <w:tc>
          <w:tcPr>
            <w:tcW w:w="8343" w:type="dxa"/>
            <w:gridSpan w:val="6"/>
            <w:shd w:val="clear" w:color="auto" w:fill="auto"/>
            <w:vAlign w:val="center"/>
          </w:tcPr>
          <w:p w14:paraId="38EB7EC3" w14:textId="04339DFE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教學重點</w:t>
            </w:r>
          </w:p>
        </w:tc>
      </w:tr>
      <w:tr w:rsidR="0066131B" w:rsidRPr="002B6987" w14:paraId="138E2A0C" w14:textId="77777777" w:rsidTr="002405E9">
        <w:trPr>
          <w:trHeight w:val="20"/>
        </w:trPr>
        <w:tc>
          <w:tcPr>
            <w:tcW w:w="1253" w:type="dxa"/>
            <w:gridSpan w:val="2"/>
            <w:vMerge/>
            <w:shd w:val="clear" w:color="auto" w:fill="auto"/>
            <w:vAlign w:val="center"/>
          </w:tcPr>
          <w:p w14:paraId="458BEDF4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243489ED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學習活動設計</w:t>
            </w:r>
          </w:p>
        </w:tc>
        <w:tc>
          <w:tcPr>
            <w:tcW w:w="3941" w:type="dxa"/>
            <w:gridSpan w:val="3"/>
            <w:vAlign w:val="center"/>
          </w:tcPr>
          <w:p w14:paraId="0E9C0C3D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學習評量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備註</w:t>
            </w:r>
          </w:p>
        </w:tc>
      </w:tr>
      <w:tr w:rsidR="0066131B" w:rsidRPr="002B6987" w14:paraId="556811C0" w14:textId="77777777" w:rsidTr="002405E9">
        <w:trPr>
          <w:trHeight w:val="20"/>
        </w:trPr>
        <w:tc>
          <w:tcPr>
            <w:tcW w:w="1253" w:type="dxa"/>
            <w:gridSpan w:val="2"/>
            <w:vMerge w:val="restart"/>
            <w:shd w:val="clear" w:color="auto" w:fill="E2EFD9"/>
            <w:vAlign w:val="center"/>
          </w:tcPr>
          <w:p w14:paraId="7115B0E7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第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節</w:t>
            </w: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68308A5F" w14:textId="77777777" w:rsidR="004249C1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引起動機</w:t>
            </w:r>
          </w:p>
          <w:p w14:paraId="2939537A" w14:textId="77777777" w:rsidR="0066131B" w:rsidRPr="002B6987" w:rsidRDefault="0066131B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1744378E" w14:textId="277572C7" w:rsidR="0066131B" w:rsidRPr="002B6987" w:rsidRDefault="00391818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教師說明課程</w:t>
            </w:r>
            <w:r w:rsidR="00B31F1E" w:rsidRPr="002B698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將以情境劇為主軸，</w:t>
            </w:r>
            <w:r w:rsidR="009F4727" w:rsidRPr="002B698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共有三個段落，教學活動將透過三個停格段落，讓學生猜想結局為何。</w:t>
            </w:r>
            <w:r w:rsidR="009F4727" w:rsidRPr="002B698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2C690EC3" w14:textId="753ED352" w:rsidR="000D7278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教師先提問，</w:t>
            </w:r>
            <w:r w:rsidR="00000848" w:rsidRPr="002B698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請同學思考問題後，並發表意見。</w:t>
            </w:r>
          </w:p>
        </w:tc>
      </w:tr>
      <w:tr w:rsidR="00504AEC" w:rsidRPr="002B6987" w14:paraId="7C4C8335" w14:textId="77777777" w:rsidTr="002405E9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147DD476" w14:textId="77777777" w:rsidR="00504AEC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3A4C60F3" w14:textId="77777777" w:rsidR="004249C1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情境劇播放</w:t>
            </w:r>
          </w:p>
          <w:p w14:paraId="1F3018F4" w14:textId="17745334" w:rsidR="00504AEC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9074B8" w:rsidRPr="002B6987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36B16CB8" w14:textId="202B1B2F" w:rsidR="00504AEC" w:rsidRPr="002B6987" w:rsidRDefault="00504AEC" w:rsidP="000E25B8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2B6987">
              <w:rPr>
                <w:rFonts w:eastAsia="標楷體" w:cs="Times New Roman"/>
                <w:sz w:val="24"/>
                <w:szCs w:val="24"/>
              </w:rPr>
              <w:t>播放</w:t>
            </w:r>
            <w:r w:rsidR="00B62DF8" w:rsidRPr="002B6987">
              <w:rPr>
                <w:rFonts w:eastAsia="標楷體" w:cs="Times New Roman" w:hint="eastAsia"/>
                <w:sz w:val="24"/>
                <w:szCs w:val="24"/>
              </w:rPr>
              <w:t>情境劇</w:t>
            </w:r>
            <w:r w:rsidRPr="002B6987">
              <w:rPr>
                <w:rFonts w:eastAsia="標楷體" w:cs="Times New Roman"/>
                <w:sz w:val="24"/>
                <w:szCs w:val="24"/>
              </w:rPr>
              <w:t>「</w:t>
            </w:r>
            <w:r w:rsidR="00B62DF8" w:rsidRPr="002B6987">
              <w:rPr>
                <w:rFonts w:eastAsia="標楷體" w:cs="Times New Roman" w:hint="eastAsia"/>
                <w:sz w:val="24"/>
                <w:szCs w:val="24"/>
              </w:rPr>
              <w:t>我們的網友</w:t>
            </w:r>
            <w:r w:rsidRPr="002B6987">
              <w:rPr>
                <w:rFonts w:eastAsia="標楷體" w:cs="Times New Roman"/>
                <w:sz w:val="24"/>
                <w:szCs w:val="24"/>
              </w:rPr>
              <w:t>」。</w: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4FA4B1F9" w14:textId="6283D22D" w:rsidR="00504AEC" w:rsidRPr="002B6987" w:rsidRDefault="00504AEC" w:rsidP="000E25B8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</w:pPr>
            <w:r w:rsidRPr="002B6987">
              <w:rPr>
                <w:rFonts w:ascii="Times New Roman" w:eastAsia="標楷體" w:hAnsi="Times New Roman" w:cs="Times New Roman"/>
                <w:sz w:val="24"/>
                <w:szCs w:val="24"/>
              </w:rPr>
              <w:t>透過</w:t>
            </w:r>
            <w:r w:rsidRPr="002B6987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情境劇的播放，教師說明</w:t>
            </w:r>
            <w:r w:rsidRPr="002B6987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「</w:t>
            </w:r>
            <w:r w:rsidR="006F13ED" w:rsidRPr="002B6987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網路交友</w:t>
            </w:r>
            <w:r w:rsidRPr="002B6987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」之</w:t>
            </w:r>
            <w:r w:rsidR="006F13ED" w:rsidRPr="002B6987">
              <w:rPr>
                <w:rFonts w:ascii="Times New Roman" w:eastAsia="標楷體" w:hAnsi="Times New Roman" w:cs="Times New Roman" w:hint="eastAsia"/>
                <w:kern w:val="0"/>
                <w:sz w:val="24"/>
                <w:szCs w:val="24"/>
                <w:lang w:bidi="hi-IN"/>
              </w:rPr>
              <w:t>注意事項</w:t>
            </w:r>
            <w:r w:rsidRPr="002B6987">
              <w:rPr>
                <w:rFonts w:ascii="Times New Roman" w:eastAsia="標楷體" w:hAnsi="Times New Roman" w:cs="Times New Roman"/>
                <w:kern w:val="0"/>
                <w:sz w:val="24"/>
                <w:szCs w:val="24"/>
                <w:lang w:bidi="hi-IN"/>
              </w:rPr>
              <w:t>。</w:t>
            </w:r>
          </w:p>
        </w:tc>
      </w:tr>
      <w:tr w:rsidR="00504AEC" w:rsidRPr="002B6987" w14:paraId="733B7E77" w14:textId="77777777" w:rsidTr="002405E9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1E527BB9" w14:textId="77777777" w:rsidR="00504AEC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5D61183C" w14:textId="77777777" w:rsidR="008B3C44" w:rsidRPr="002B6987" w:rsidRDefault="008B3C44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 w:hint="eastAsia"/>
                <w:b/>
                <w:color w:val="000000"/>
                <w:sz w:val="24"/>
                <w:szCs w:val="24"/>
              </w:rPr>
              <w:t>課堂活動</w:t>
            </w:r>
          </w:p>
          <w:p w14:paraId="70EBA031" w14:textId="4BC8673A" w:rsidR="00504AEC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9074B8" w:rsidRPr="002B6987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20</w:t>
            </w: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1A6D754F" w14:textId="03B0B2E6" w:rsidR="00504AEC" w:rsidRPr="002B6987" w:rsidRDefault="007E707D" w:rsidP="000E25B8">
            <w:pPr>
              <w:pStyle w:val="Standard"/>
              <w:spacing w:line="276" w:lineRule="auto"/>
              <w:jc w:val="both"/>
              <w:rPr>
                <w:rFonts w:eastAsia="標楷體" w:cs="Times New Roman"/>
                <w:color w:val="000000" w:themeColor="text1"/>
                <w:sz w:val="24"/>
                <w:szCs w:val="24"/>
              </w:rPr>
            </w:pPr>
            <w:r w:rsidRPr="002B6987">
              <w:rPr>
                <w:rFonts w:eastAsia="標楷體" w:cs="Times New Roman" w:hint="eastAsia"/>
                <w:sz w:val="24"/>
                <w:szCs w:val="24"/>
              </w:rPr>
              <w:t>觀看</w:t>
            </w:r>
            <w:r w:rsidR="00B41E2D" w:rsidRPr="002B6987">
              <w:rPr>
                <w:rFonts w:eastAsia="標楷體" w:cs="Times New Roman" w:hint="eastAsia"/>
                <w:sz w:val="24"/>
                <w:szCs w:val="24"/>
              </w:rPr>
              <w:t>三個影片停格段落</w:t>
            </w:r>
            <w:r w:rsidR="009A02CF" w:rsidRPr="002B6987">
              <w:rPr>
                <w:rFonts w:eastAsia="標楷體" w:cs="Times New Roman" w:hint="eastAsia"/>
                <w:sz w:val="24"/>
                <w:szCs w:val="24"/>
              </w:rPr>
              <w:t>，</w:t>
            </w:r>
            <w:r w:rsidRPr="002B6987">
              <w:rPr>
                <w:rFonts w:eastAsia="標楷體" w:cs="Times New Roman" w:hint="eastAsia"/>
                <w:sz w:val="24"/>
                <w:szCs w:val="24"/>
              </w:rPr>
              <w:t>並</w:t>
            </w:r>
            <w:r w:rsidR="00C135D0" w:rsidRPr="002B6987">
              <w:rPr>
                <w:rFonts w:eastAsia="標楷體" w:cs="Times New Roman" w:hint="eastAsia"/>
                <w:sz w:val="24"/>
                <w:szCs w:val="24"/>
              </w:rPr>
              <w:t>請學生</w:t>
            </w:r>
            <w:r w:rsidRPr="002B6987">
              <w:rPr>
                <w:rFonts w:eastAsia="標楷體" w:cs="Times New Roman" w:hint="eastAsia"/>
                <w:sz w:val="24"/>
                <w:szCs w:val="24"/>
              </w:rPr>
              <w:t>思考後，</w:t>
            </w:r>
            <w:r w:rsidR="00C135D0" w:rsidRPr="002B6987">
              <w:rPr>
                <w:rFonts w:eastAsia="標楷體" w:cs="Times New Roman" w:hint="eastAsia"/>
                <w:sz w:val="24"/>
                <w:szCs w:val="24"/>
              </w:rPr>
              <w:t>寫下</w:t>
            </w:r>
            <w:r w:rsidR="00B41E2D" w:rsidRPr="002B6987">
              <w:rPr>
                <w:rFonts w:eastAsia="標楷體" w:cs="Times New Roman" w:hint="eastAsia"/>
                <w:sz w:val="24"/>
                <w:szCs w:val="24"/>
              </w:rPr>
              <w:t>該段落</w:t>
            </w:r>
            <w:r w:rsidR="009A02CF" w:rsidRPr="002B6987">
              <w:rPr>
                <w:rFonts w:eastAsia="標楷體" w:cs="Times New Roman" w:hint="eastAsia"/>
                <w:sz w:val="24"/>
                <w:szCs w:val="24"/>
              </w:rPr>
              <w:t>的主角</w:t>
            </w:r>
            <w:r w:rsidR="00C135D0" w:rsidRPr="002B6987">
              <w:rPr>
                <w:rFonts w:eastAsia="標楷體" w:cs="Times New Roman" w:hint="eastAsia"/>
                <w:sz w:val="24"/>
                <w:szCs w:val="24"/>
              </w:rPr>
              <w:t>接下來會有什麼樣的遭遇，三分鐘後收回學生的結局預告單，</w:t>
            </w:r>
            <w:r w:rsidR="00111B1D" w:rsidRPr="002B6987">
              <w:rPr>
                <w:rFonts w:eastAsia="標楷體" w:cs="Times New Roman" w:hint="eastAsia"/>
                <w:sz w:val="24"/>
                <w:szCs w:val="24"/>
              </w:rPr>
              <w:t>並</w:t>
            </w:r>
            <w:r w:rsidR="00AD7B6A" w:rsidRPr="002B6987">
              <w:rPr>
                <w:rFonts w:eastAsia="標楷體" w:cs="Times New Roman" w:hint="eastAsia"/>
                <w:sz w:val="24"/>
                <w:szCs w:val="24"/>
              </w:rPr>
              <w:t>播放</w:t>
            </w:r>
            <w:r w:rsidR="00111B1D" w:rsidRPr="002B6987">
              <w:rPr>
                <w:rFonts w:eastAsia="標楷體" w:cs="Times New Roman" w:hint="eastAsia"/>
                <w:sz w:val="24"/>
                <w:szCs w:val="24"/>
              </w:rPr>
              <w:t>或</w:t>
            </w:r>
            <w:r w:rsidR="00AD7B6A" w:rsidRPr="002B6987">
              <w:rPr>
                <w:rFonts w:eastAsia="標楷體" w:cs="Times New Roman" w:hint="eastAsia"/>
                <w:sz w:val="24"/>
                <w:szCs w:val="24"/>
              </w:rPr>
              <w:t>以</w:t>
            </w:r>
            <w:r w:rsidR="00111B1D" w:rsidRPr="002B6987">
              <w:rPr>
                <w:rFonts w:eastAsia="標楷體" w:cs="Times New Roman" w:hint="eastAsia"/>
                <w:sz w:val="24"/>
                <w:szCs w:val="24"/>
              </w:rPr>
              <w:t>口頭</w:t>
            </w:r>
            <w:r w:rsidR="00AD7B6A" w:rsidRPr="002B6987">
              <w:rPr>
                <w:rFonts w:eastAsia="標楷體" w:cs="Times New Roman" w:hint="eastAsia"/>
                <w:sz w:val="24"/>
                <w:szCs w:val="24"/>
              </w:rPr>
              <w:t>形式，</w:t>
            </w:r>
            <w:r w:rsidR="00111B1D" w:rsidRPr="002B6987">
              <w:rPr>
                <w:rFonts w:eastAsia="標楷體" w:cs="Times New Roman" w:hint="eastAsia"/>
                <w:sz w:val="24"/>
                <w:szCs w:val="24"/>
              </w:rPr>
              <w:t>揭示學生預告</w:t>
            </w:r>
            <w:r w:rsidR="00EE21F1" w:rsidRPr="002B6987">
              <w:rPr>
                <w:rFonts w:eastAsia="標楷體" w:cs="Times New Roman" w:hint="eastAsia"/>
                <w:sz w:val="24"/>
                <w:szCs w:val="24"/>
              </w:rPr>
              <w:t>之</w:t>
            </w:r>
            <w:r w:rsidR="00111B1D" w:rsidRPr="002B6987">
              <w:rPr>
                <w:rFonts w:eastAsia="標楷體" w:cs="Times New Roman" w:hint="eastAsia"/>
                <w:sz w:val="24"/>
                <w:szCs w:val="24"/>
              </w:rPr>
              <w:t>結局內容，</w:t>
            </w:r>
            <w:r w:rsidR="00EE21F1" w:rsidRPr="002B6987">
              <w:rPr>
                <w:rFonts w:eastAsia="標楷體" w:cs="Times New Roman" w:hint="eastAsia"/>
                <w:sz w:val="24"/>
                <w:szCs w:val="24"/>
              </w:rPr>
              <w:t>教師視情況挑出內容較多或</w:t>
            </w:r>
            <w:r w:rsidR="00FB1FCA" w:rsidRPr="002B6987">
              <w:rPr>
                <w:rFonts w:eastAsia="標楷體" w:cs="Times New Roman" w:hint="eastAsia"/>
                <w:sz w:val="24"/>
                <w:szCs w:val="24"/>
              </w:rPr>
              <w:t>不同於他人之</w:t>
            </w:r>
            <w:r w:rsidR="00EE21F1" w:rsidRPr="002B6987">
              <w:rPr>
                <w:rFonts w:eastAsia="標楷體" w:cs="Times New Roman" w:hint="eastAsia"/>
                <w:sz w:val="24"/>
                <w:szCs w:val="24"/>
              </w:rPr>
              <w:t>結局展示，同時說明應注意事項。</w: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743A14C3" w14:textId="59CDA101" w:rsidR="00504AEC" w:rsidRPr="002B6987" w:rsidRDefault="008B3C44" w:rsidP="000E25B8">
            <w:pPr>
              <w:pStyle w:val="Standard"/>
              <w:spacing w:line="276" w:lineRule="auto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2B6987">
              <w:rPr>
                <w:rFonts w:eastAsia="標楷體" w:cs="Times New Roman"/>
                <w:sz w:val="24"/>
                <w:szCs w:val="24"/>
              </w:rPr>
              <w:t>配合學習單。</w:t>
            </w:r>
          </w:p>
        </w:tc>
      </w:tr>
      <w:tr w:rsidR="00504AEC" w:rsidRPr="002B6987" w14:paraId="034E804E" w14:textId="77777777" w:rsidTr="002405E9">
        <w:trPr>
          <w:trHeight w:val="20"/>
        </w:trPr>
        <w:tc>
          <w:tcPr>
            <w:tcW w:w="1253" w:type="dxa"/>
            <w:gridSpan w:val="2"/>
            <w:vMerge/>
            <w:shd w:val="clear" w:color="auto" w:fill="E2EFD9"/>
            <w:vAlign w:val="center"/>
          </w:tcPr>
          <w:p w14:paraId="4C6F7E5C" w14:textId="77777777" w:rsidR="00504AEC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2" w:type="dxa"/>
            <w:gridSpan w:val="3"/>
            <w:shd w:val="clear" w:color="auto" w:fill="auto"/>
            <w:vAlign w:val="center"/>
          </w:tcPr>
          <w:p w14:paraId="6C4F753F" w14:textId="77777777" w:rsidR="004249C1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課程統整</w:t>
            </w:r>
          </w:p>
          <w:p w14:paraId="3F51EC52" w14:textId="496942D7" w:rsidR="00504AEC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教學時間：</w:t>
            </w:r>
            <w:r w:rsidR="009074B8" w:rsidRPr="002B6987">
              <w:rPr>
                <w:rFonts w:ascii="Times New Roman" w:eastAsia="標楷體" w:hAnsi="Times New Roman" w:cs="Times New Roman" w:hint="eastAsia"/>
                <w:bCs/>
                <w:color w:val="000000"/>
                <w:sz w:val="24"/>
                <w:szCs w:val="24"/>
              </w:rPr>
              <w:t>10</w:t>
            </w:r>
            <w:r w:rsidRPr="002B6987">
              <w:rPr>
                <w:rFonts w:ascii="Times New Roman" w:eastAsia="標楷體" w:hAnsi="Times New Roman" w:cs="Times New Roman"/>
                <w:bCs/>
                <w:color w:val="000000"/>
                <w:sz w:val="24"/>
                <w:szCs w:val="24"/>
              </w:rPr>
              <w:t>分鐘</w:t>
            </w:r>
          </w:p>
          <w:p w14:paraId="44E3D823" w14:textId="77777777" w:rsidR="00504AEC" w:rsidRPr="002B6987" w:rsidRDefault="00504AEC" w:rsidP="000E25B8">
            <w:pPr>
              <w:pStyle w:val="Standard"/>
              <w:numPr>
                <w:ilvl w:val="0"/>
                <w:numId w:val="17"/>
              </w:numPr>
              <w:spacing w:line="276" w:lineRule="auto"/>
              <w:ind w:left="357" w:hanging="357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2B6987">
              <w:rPr>
                <w:rFonts w:eastAsia="標楷體" w:cs="Times New Roman"/>
                <w:sz w:val="24"/>
                <w:szCs w:val="24"/>
              </w:rPr>
              <w:t>教師帶著學生回顧教材之重點回顧：</w:t>
            </w:r>
          </w:p>
          <w:p w14:paraId="73E78217" w14:textId="39D5579B" w:rsidR="00504AEC" w:rsidRPr="002B6987" w:rsidRDefault="008B1BEE" w:rsidP="000E25B8">
            <w:pPr>
              <w:pStyle w:val="Standard"/>
              <w:numPr>
                <w:ilvl w:val="0"/>
                <w:numId w:val="28"/>
              </w:numPr>
              <w:spacing w:line="276" w:lineRule="auto"/>
              <w:ind w:left="98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2B6987">
              <w:rPr>
                <w:rFonts w:eastAsia="標楷體" w:cs="Times New Roman" w:hint="eastAsia"/>
                <w:sz w:val="24"/>
                <w:szCs w:val="24"/>
              </w:rPr>
              <w:t>網路交友停看聽。</w:t>
            </w:r>
          </w:p>
          <w:p w14:paraId="2A3FD8FD" w14:textId="5D1D5759" w:rsidR="008B1BEE" w:rsidRPr="002B6987" w:rsidRDefault="008B1BEE" w:rsidP="000E25B8">
            <w:pPr>
              <w:pStyle w:val="Standard"/>
              <w:numPr>
                <w:ilvl w:val="0"/>
                <w:numId w:val="28"/>
              </w:numPr>
              <w:spacing w:line="276" w:lineRule="auto"/>
              <w:ind w:left="98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2B6987">
              <w:rPr>
                <w:rFonts w:eastAsia="標楷體" w:cs="Times New Roman" w:hint="eastAsia"/>
                <w:sz w:val="24"/>
                <w:szCs w:val="24"/>
              </w:rPr>
              <w:t>貪財貪色要小心。</w:t>
            </w:r>
          </w:p>
          <w:p w14:paraId="0862387A" w14:textId="5C19D957" w:rsidR="008B1BEE" w:rsidRPr="002B6987" w:rsidRDefault="008B1BEE" w:rsidP="000E25B8">
            <w:pPr>
              <w:pStyle w:val="Standard"/>
              <w:numPr>
                <w:ilvl w:val="0"/>
                <w:numId w:val="28"/>
              </w:numPr>
              <w:spacing w:line="276" w:lineRule="auto"/>
              <w:ind w:left="98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2B6987">
              <w:rPr>
                <w:rFonts w:eastAsia="標楷體" w:cs="Times New Roman" w:hint="eastAsia"/>
                <w:sz w:val="24"/>
                <w:szCs w:val="24"/>
              </w:rPr>
              <w:t>單獨見面宜考慮。</w:t>
            </w:r>
          </w:p>
          <w:p w14:paraId="196CAB6E" w14:textId="476DE67C" w:rsidR="008B1BEE" w:rsidRPr="002B6987" w:rsidRDefault="008B1BEE" w:rsidP="000E25B8">
            <w:pPr>
              <w:pStyle w:val="Standard"/>
              <w:numPr>
                <w:ilvl w:val="0"/>
                <w:numId w:val="28"/>
              </w:numPr>
              <w:spacing w:line="276" w:lineRule="auto"/>
              <w:ind w:left="981" w:hanging="624"/>
              <w:jc w:val="both"/>
              <w:rPr>
                <w:rFonts w:eastAsia="標楷體" w:cs="Times New Roman"/>
                <w:sz w:val="24"/>
                <w:szCs w:val="24"/>
              </w:rPr>
            </w:pPr>
            <w:r w:rsidRPr="002B6987">
              <w:rPr>
                <w:rFonts w:eastAsia="標楷體" w:cs="Times New Roman" w:hint="eastAsia"/>
                <w:sz w:val="24"/>
                <w:szCs w:val="24"/>
              </w:rPr>
              <w:t>發展健康好關係。</w:t>
            </w:r>
          </w:p>
          <w:p w14:paraId="493A0D8B" w14:textId="78035A6D" w:rsidR="00504AEC" w:rsidRPr="002B6987" w:rsidRDefault="00504AEC" w:rsidP="000E25B8">
            <w:pPr>
              <w:pStyle w:val="Standard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jc w:val="both"/>
              <w:rPr>
                <w:rFonts w:eastAsia="標楷體" w:cs="Times New Roman"/>
                <w:b/>
                <w:color w:val="000000"/>
                <w:sz w:val="24"/>
                <w:szCs w:val="24"/>
              </w:rPr>
            </w:pPr>
            <w:r w:rsidRPr="002B6987">
              <w:rPr>
                <w:rFonts w:eastAsia="標楷體" w:cs="Times New Roman"/>
                <w:sz w:val="24"/>
                <w:szCs w:val="24"/>
              </w:rPr>
              <w:t>鼓勵學生回家後可以將課堂上學習到的</w:t>
            </w:r>
            <w:r w:rsidR="00C73BD0" w:rsidRPr="002B6987">
              <w:rPr>
                <w:rFonts w:eastAsia="標楷體" w:cs="Times New Roman"/>
                <w:sz w:val="24"/>
                <w:szCs w:val="24"/>
              </w:rPr>
              <w:t>數位素養</w:t>
            </w:r>
            <w:r w:rsidRPr="002B6987">
              <w:rPr>
                <w:rFonts w:eastAsia="標楷體" w:cs="Times New Roman"/>
                <w:sz w:val="24"/>
                <w:szCs w:val="24"/>
              </w:rPr>
              <w:t>觀念向親友分享與宣導，成為</w:t>
            </w:r>
            <w:r w:rsidR="00C73BD0" w:rsidRPr="002B6987">
              <w:rPr>
                <w:rFonts w:eastAsia="標楷體" w:cs="Times New Roman"/>
                <w:sz w:val="24"/>
                <w:szCs w:val="24"/>
              </w:rPr>
              <w:t>數位素養</w:t>
            </w:r>
            <w:r w:rsidRPr="002B6987">
              <w:rPr>
                <w:rFonts w:eastAsia="標楷體" w:cs="Times New Roman"/>
                <w:sz w:val="24"/>
                <w:szCs w:val="24"/>
              </w:rPr>
              <w:t>小種子。</w: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14:paraId="5326671C" w14:textId="7BA123DF" w:rsidR="00504AEC" w:rsidRPr="002B6987" w:rsidRDefault="00504AEC" w:rsidP="000E2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 w:rsidRPr="002B698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教師引導學生重點回顧並讓同學</w:t>
            </w:r>
            <w:r w:rsidR="00755605" w:rsidRPr="002B698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了</w:t>
            </w:r>
            <w:r w:rsidRPr="002B6987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</w:rPr>
              <w:t>解</w:t>
            </w:r>
            <w:r w:rsidR="008B1BEE" w:rsidRPr="002B6987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網路交友需要注意的事情。</w:t>
            </w:r>
          </w:p>
        </w:tc>
      </w:tr>
    </w:tbl>
    <w:p w14:paraId="599CE9B7" w14:textId="58660C94" w:rsidR="008B5448" w:rsidRPr="002B6987" w:rsidRDefault="001059B5" w:rsidP="00A42DB2">
      <w:pPr>
        <w:spacing w:line="276" w:lineRule="auto"/>
        <w:jc w:val="right"/>
        <w:rPr>
          <w:rFonts w:ascii="Times New Roman" w:eastAsia="標楷體" w:hAnsi="Times New Roman" w:cs="Times New Roman"/>
          <w:szCs w:val="24"/>
        </w:rPr>
      </w:pPr>
      <w:r w:rsidRPr="002B6987">
        <w:rPr>
          <w:rFonts w:ascii="Times New Roman" w:eastAsia="標楷體" w:hAnsi="Times New Roman"/>
          <w:szCs w:val="24"/>
        </w:rPr>
        <w:t>根據《教育部中小學數位教學指引</w:t>
      </w:r>
      <w:r w:rsidRPr="002B6987">
        <w:rPr>
          <w:rFonts w:ascii="Times New Roman" w:eastAsia="標楷體" w:hAnsi="Times New Roman"/>
          <w:szCs w:val="24"/>
        </w:rPr>
        <w:t>3.0</w:t>
      </w:r>
      <w:r w:rsidRPr="002B6987">
        <w:rPr>
          <w:rFonts w:ascii="Times New Roman" w:eastAsia="標楷體" w:hAnsi="Times New Roman"/>
          <w:szCs w:val="24"/>
        </w:rPr>
        <w:t>版》修訂而成</w:t>
      </w:r>
      <w:bookmarkStart w:id="0" w:name="_GoBack"/>
      <w:bookmarkEnd w:id="0"/>
    </w:p>
    <w:sectPr w:rsidR="008B5448" w:rsidRPr="002B6987" w:rsidSect="00A42DB2">
      <w:headerReference w:type="default" r:id="rId13"/>
      <w:pgSz w:w="11906" w:h="16838"/>
      <w:pgMar w:top="1134" w:right="1134" w:bottom="1134" w:left="1134" w:header="851" w:footer="61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E7158" w14:textId="77777777" w:rsidR="008B581D" w:rsidRDefault="008B581D">
      <w:r>
        <w:separator/>
      </w:r>
    </w:p>
  </w:endnote>
  <w:endnote w:type="continuationSeparator" w:id="0">
    <w:p w14:paraId="357EEFB7" w14:textId="77777777" w:rsidR="008B581D" w:rsidRDefault="008B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F5E2" w14:textId="77777777" w:rsidR="008B581D" w:rsidRDefault="008B581D">
      <w:r>
        <w:separator/>
      </w:r>
    </w:p>
  </w:footnote>
  <w:footnote w:type="continuationSeparator" w:id="0">
    <w:p w14:paraId="7837E539" w14:textId="77777777" w:rsidR="008B581D" w:rsidRDefault="008B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BB15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5D32A5E4"/>
    <w:lvl w:ilvl="0" w:tplc="B5C85E4C">
      <w:start w:val="1"/>
      <w:numFmt w:val="decimal"/>
      <w:lvlText w:val="%1."/>
      <w:lvlJc w:val="left"/>
      <w:pPr>
        <w:ind w:left="168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63" w:hanging="480"/>
      </w:pPr>
    </w:lvl>
    <w:lvl w:ilvl="2" w:tplc="0409001B" w:tentative="1">
      <w:start w:val="1"/>
      <w:numFmt w:val="lowerRoman"/>
      <w:lvlText w:val="%3."/>
      <w:lvlJc w:val="right"/>
      <w:pPr>
        <w:ind w:left="2643" w:hanging="480"/>
      </w:pPr>
    </w:lvl>
    <w:lvl w:ilvl="3" w:tplc="0409000F" w:tentative="1">
      <w:start w:val="1"/>
      <w:numFmt w:val="decimal"/>
      <w:lvlText w:val="%4."/>
      <w:lvlJc w:val="left"/>
      <w:pPr>
        <w:ind w:left="31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3" w:hanging="480"/>
      </w:pPr>
    </w:lvl>
    <w:lvl w:ilvl="5" w:tplc="0409001B" w:tentative="1">
      <w:start w:val="1"/>
      <w:numFmt w:val="lowerRoman"/>
      <w:lvlText w:val="%6."/>
      <w:lvlJc w:val="right"/>
      <w:pPr>
        <w:ind w:left="4083" w:hanging="480"/>
      </w:pPr>
    </w:lvl>
    <w:lvl w:ilvl="6" w:tplc="0409000F" w:tentative="1">
      <w:start w:val="1"/>
      <w:numFmt w:val="decimal"/>
      <w:lvlText w:val="%7."/>
      <w:lvlJc w:val="left"/>
      <w:pPr>
        <w:ind w:left="45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3" w:hanging="480"/>
      </w:pPr>
    </w:lvl>
    <w:lvl w:ilvl="8" w:tplc="0409001B" w:tentative="1">
      <w:start w:val="1"/>
      <w:numFmt w:val="lowerRoman"/>
      <w:lvlText w:val="%9."/>
      <w:lvlJc w:val="right"/>
      <w:pPr>
        <w:ind w:left="5523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BC709FC"/>
    <w:multiLevelType w:val="hybridMultilevel"/>
    <w:tmpl w:val="5738825A"/>
    <w:lvl w:ilvl="0" w:tplc="D71AB37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A2630"/>
    <w:multiLevelType w:val="hybridMultilevel"/>
    <w:tmpl w:val="5738825A"/>
    <w:lvl w:ilvl="0" w:tplc="D71AB37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490FF5"/>
    <w:multiLevelType w:val="hybridMultilevel"/>
    <w:tmpl w:val="C1464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260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0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1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B304C7"/>
    <w:multiLevelType w:val="hybridMultilevel"/>
    <w:tmpl w:val="F8BE4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9A1955"/>
    <w:multiLevelType w:val="hybridMultilevel"/>
    <w:tmpl w:val="5738825A"/>
    <w:lvl w:ilvl="0" w:tplc="D71AB37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7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392D3C"/>
    <w:multiLevelType w:val="hybridMultilevel"/>
    <w:tmpl w:val="EFB0DA80"/>
    <w:lvl w:ilvl="0" w:tplc="587861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30F47"/>
    <w:multiLevelType w:val="multilevel"/>
    <w:tmpl w:val="636E05F2"/>
    <w:lvl w:ilvl="0">
      <w:start w:val="1"/>
      <w:numFmt w:val="decimal"/>
      <w:suff w:val="nothing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6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9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30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1" w15:restartNumberingAfterBreak="0">
    <w:nsid w:val="6BBC6768"/>
    <w:multiLevelType w:val="hybridMultilevel"/>
    <w:tmpl w:val="333E4D26"/>
    <w:lvl w:ilvl="0" w:tplc="85AEF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3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4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9"/>
  </w:num>
  <w:num w:numId="3">
    <w:abstractNumId w:val="7"/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3"/>
  </w:num>
  <w:num w:numId="6">
    <w:abstractNumId w:val="1"/>
  </w:num>
  <w:num w:numId="7">
    <w:abstractNumId w:val="30"/>
  </w:num>
  <w:num w:numId="8">
    <w:abstractNumId w:val="28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6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10"/>
  </w:num>
  <w:num w:numId="12">
    <w:abstractNumId w:val="3"/>
  </w:num>
  <w:num w:numId="13">
    <w:abstractNumId w:val="22"/>
  </w:num>
  <w:num w:numId="14">
    <w:abstractNumId w:val="25"/>
  </w:num>
  <w:num w:numId="15">
    <w:abstractNumId w:val="26"/>
  </w:num>
  <w:num w:numId="16">
    <w:abstractNumId w:val="12"/>
  </w:num>
  <w:num w:numId="17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6"/>
  </w:num>
  <w:num w:numId="19">
    <w:abstractNumId w:val="19"/>
  </w:num>
  <w:num w:numId="20">
    <w:abstractNumId w:val="32"/>
  </w:num>
  <w:num w:numId="21">
    <w:abstractNumId w:val="34"/>
  </w:num>
  <w:num w:numId="22">
    <w:abstractNumId w:val="0"/>
  </w:num>
  <w:num w:numId="23">
    <w:abstractNumId w:val="8"/>
  </w:num>
  <w:num w:numId="24">
    <w:abstractNumId w:val="27"/>
  </w:num>
  <w:num w:numId="25">
    <w:abstractNumId w:val="6"/>
  </w:num>
  <w:num w:numId="26">
    <w:abstractNumId w:val="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3"/>
  </w:num>
  <w:num w:numId="28">
    <w:abstractNumId w:val="9"/>
  </w:num>
  <w:num w:numId="29">
    <w:abstractNumId w:val="17"/>
  </w:num>
  <w:num w:numId="30">
    <w:abstractNumId w:val="20"/>
  </w:num>
  <w:num w:numId="31">
    <w:abstractNumId w:val="26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8"/>
  </w:num>
  <w:num w:numId="33">
    <w:abstractNumId w:val="11"/>
  </w:num>
  <w:num w:numId="34">
    <w:abstractNumId w:val="4"/>
  </w:num>
  <w:num w:numId="35">
    <w:abstractNumId w:val="23"/>
  </w:num>
  <w:num w:numId="36">
    <w:abstractNumId w:val="14"/>
  </w:num>
  <w:num w:numId="37">
    <w:abstractNumId w:val="31"/>
  </w:num>
  <w:num w:numId="38">
    <w:abstractNumId w:val="21"/>
  </w:num>
  <w:num w:numId="39">
    <w:abstractNumId w:val="5"/>
  </w:num>
  <w:num w:numId="40">
    <w:abstractNumId w:val="2"/>
  </w:num>
  <w:num w:numId="41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323EB"/>
    <w:rsid w:val="000347FC"/>
    <w:rsid w:val="00067C32"/>
    <w:rsid w:val="00083FF0"/>
    <w:rsid w:val="00094326"/>
    <w:rsid w:val="000A1B84"/>
    <w:rsid w:val="000C5C7C"/>
    <w:rsid w:val="000D2471"/>
    <w:rsid w:val="000D7278"/>
    <w:rsid w:val="000E25B8"/>
    <w:rsid w:val="000E4F10"/>
    <w:rsid w:val="000E4F46"/>
    <w:rsid w:val="000E6D09"/>
    <w:rsid w:val="000F5AE7"/>
    <w:rsid w:val="001059B5"/>
    <w:rsid w:val="00111B1D"/>
    <w:rsid w:val="001134C6"/>
    <w:rsid w:val="0013390A"/>
    <w:rsid w:val="00135521"/>
    <w:rsid w:val="00135CD5"/>
    <w:rsid w:val="00136A23"/>
    <w:rsid w:val="001406B9"/>
    <w:rsid w:val="00171BBE"/>
    <w:rsid w:val="00173049"/>
    <w:rsid w:val="00173CE3"/>
    <w:rsid w:val="00173E90"/>
    <w:rsid w:val="00180264"/>
    <w:rsid w:val="00195ED9"/>
    <w:rsid w:val="00197A22"/>
    <w:rsid w:val="001A0F2D"/>
    <w:rsid w:val="001B2669"/>
    <w:rsid w:val="001C15CD"/>
    <w:rsid w:val="001C71EE"/>
    <w:rsid w:val="001E06CA"/>
    <w:rsid w:val="00215942"/>
    <w:rsid w:val="002232B8"/>
    <w:rsid w:val="00225D77"/>
    <w:rsid w:val="00226B47"/>
    <w:rsid w:val="002275FC"/>
    <w:rsid w:val="002405E9"/>
    <w:rsid w:val="00243A1E"/>
    <w:rsid w:val="00244095"/>
    <w:rsid w:val="00286196"/>
    <w:rsid w:val="0029528F"/>
    <w:rsid w:val="00295A6C"/>
    <w:rsid w:val="002B6987"/>
    <w:rsid w:val="003113C6"/>
    <w:rsid w:val="003222DC"/>
    <w:rsid w:val="003236D5"/>
    <w:rsid w:val="00332E21"/>
    <w:rsid w:val="00355D14"/>
    <w:rsid w:val="003603FF"/>
    <w:rsid w:val="003723B5"/>
    <w:rsid w:val="00384A3D"/>
    <w:rsid w:val="00391818"/>
    <w:rsid w:val="003970B5"/>
    <w:rsid w:val="003A3853"/>
    <w:rsid w:val="003C4916"/>
    <w:rsid w:val="003F07F7"/>
    <w:rsid w:val="003F0AD4"/>
    <w:rsid w:val="003F42C5"/>
    <w:rsid w:val="003F5011"/>
    <w:rsid w:val="00403566"/>
    <w:rsid w:val="00415773"/>
    <w:rsid w:val="00415B74"/>
    <w:rsid w:val="004247CF"/>
    <w:rsid w:val="004249C1"/>
    <w:rsid w:val="00435370"/>
    <w:rsid w:val="00450B9F"/>
    <w:rsid w:val="00454A26"/>
    <w:rsid w:val="00461E83"/>
    <w:rsid w:val="004658F4"/>
    <w:rsid w:val="00471E3F"/>
    <w:rsid w:val="00480173"/>
    <w:rsid w:val="00481CC6"/>
    <w:rsid w:val="00482601"/>
    <w:rsid w:val="0049709E"/>
    <w:rsid w:val="004A7288"/>
    <w:rsid w:val="004B1E94"/>
    <w:rsid w:val="004C4C0D"/>
    <w:rsid w:val="004C7338"/>
    <w:rsid w:val="004E09F9"/>
    <w:rsid w:val="004E15CB"/>
    <w:rsid w:val="004E484C"/>
    <w:rsid w:val="004F6CA7"/>
    <w:rsid w:val="00504AEC"/>
    <w:rsid w:val="0051024B"/>
    <w:rsid w:val="00527CF5"/>
    <w:rsid w:val="00550779"/>
    <w:rsid w:val="005538B2"/>
    <w:rsid w:val="005568D3"/>
    <w:rsid w:val="00563C41"/>
    <w:rsid w:val="005660A9"/>
    <w:rsid w:val="00567680"/>
    <w:rsid w:val="00567DC4"/>
    <w:rsid w:val="00576658"/>
    <w:rsid w:val="00581E70"/>
    <w:rsid w:val="005821EA"/>
    <w:rsid w:val="00582FCE"/>
    <w:rsid w:val="005B399B"/>
    <w:rsid w:val="005D2A08"/>
    <w:rsid w:val="005D3148"/>
    <w:rsid w:val="005D61F4"/>
    <w:rsid w:val="005E7A17"/>
    <w:rsid w:val="006073FD"/>
    <w:rsid w:val="00625F1B"/>
    <w:rsid w:val="00626012"/>
    <w:rsid w:val="00635272"/>
    <w:rsid w:val="00654869"/>
    <w:rsid w:val="00656EF6"/>
    <w:rsid w:val="0066131B"/>
    <w:rsid w:val="00664914"/>
    <w:rsid w:val="0067423A"/>
    <w:rsid w:val="0068349B"/>
    <w:rsid w:val="006834C2"/>
    <w:rsid w:val="006856C5"/>
    <w:rsid w:val="006B735D"/>
    <w:rsid w:val="006E2299"/>
    <w:rsid w:val="006F13ED"/>
    <w:rsid w:val="006F460F"/>
    <w:rsid w:val="007012CB"/>
    <w:rsid w:val="007172A9"/>
    <w:rsid w:val="0072260F"/>
    <w:rsid w:val="0072559C"/>
    <w:rsid w:val="00751F49"/>
    <w:rsid w:val="00755605"/>
    <w:rsid w:val="00766526"/>
    <w:rsid w:val="007915C5"/>
    <w:rsid w:val="007A704B"/>
    <w:rsid w:val="007B44F0"/>
    <w:rsid w:val="007C0F26"/>
    <w:rsid w:val="007D23C9"/>
    <w:rsid w:val="007E707D"/>
    <w:rsid w:val="007E7691"/>
    <w:rsid w:val="007E78E6"/>
    <w:rsid w:val="007F7E5B"/>
    <w:rsid w:val="008262A3"/>
    <w:rsid w:val="0083246F"/>
    <w:rsid w:val="00852084"/>
    <w:rsid w:val="00867C65"/>
    <w:rsid w:val="0087238B"/>
    <w:rsid w:val="00886728"/>
    <w:rsid w:val="00894470"/>
    <w:rsid w:val="00895B58"/>
    <w:rsid w:val="008B1BEE"/>
    <w:rsid w:val="008B3C44"/>
    <w:rsid w:val="008B5448"/>
    <w:rsid w:val="008B581D"/>
    <w:rsid w:val="008B77CE"/>
    <w:rsid w:val="008D0CA6"/>
    <w:rsid w:val="009074B8"/>
    <w:rsid w:val="0091173F"/>
    <w:rsid w:val="00923C9A"/>
    <w:rsid w:val="009468FE"/>
    <w:rsid w:val="009522BB"/>
    <w:rsid w:val="009621F8"/>
    <w:rsid w:val="00962AC3"/>
    <w:rsid w:val="00971B89"/>
    <w:rsid w:val="00972BD5"/>
    <w:rsid w:val="00972EFF"/>
    <w:rsid w:val="00982640"/>
    <w:rsid w:val="00996DF4"/>
    <w:rsid w:val="00997F59"/>
    <w:rsid w:val="009A02CF"/>
    <w:rsid w:val="009B1935"/>
    <w:rsid w:val="009B5045"/>
    <w:rsid w:val="009B5F5E"/>
    <w:rsid w:val="009B6DF7"/>
    <w:rsid w:val="009C52FE"/>
    <w:rsid w:val="009D0C06"/>
    <w:rsid w:val="009D58A3"/>
    <w:rsid w:val="009E50C2"/>
    <w:rsid w:val="009F4727"/>
    <w:rsid w:val="00A11B0B"/>
    <w:rsid w:val="00A162A7"/>
    <w:rsid w:val="00A16C93"/>
    <w:rsid w:val="00A33792"/>
    <w:rsid w:val="00A364CF"/>
    <w:rsid w:val="00A42DB2"/>
    <w:rsid w:val="00A43CA8"/>
    <w:rsid w:val="00A57A70"/>
    <w:rsid w:val="00A67BFC"/>
    <w:rsid w:val="00A80C2B"/>
    <w:rsid w:val="00A86008"/>
    <w:rsid w:val="00AB66E5"/>
    <w:rsid w:val="00AC3F99"/>
    <w:rsid w:val="00AC6895"/>
    <w:rsid w:val="00AD4FDF"/>
    <w:rsid w:val="00AD7B6A"/>
    <w:rsid w:val="00AE68EE"/>
    <w:rsid w:val="00B05649"/>
    <w:rsid w:val="00B31F1E"/>
    <w:rsid w:val="00B41E2D"/>
    <w:rsid w:val="00B62DF8"/>
    <w:rsid w:val="00B7247D"/>
    <w:rsid w:val="00B72597"/>
    <w:rsid w:val="00BA20CD"/>
    <w:rsid w:val="00BC17A1"/>
    <w:rsid w:val="00BD38B5"/>
    <w:rsid w:val="00BE2066"/>
    <w:rsid w:val="00BE7DE1"/>
    <w:rsid w:val="00C135D0"/>
    <w:rsid w:val="00C73BD0"/>
    <w:rsid w:val="00C809DA"/>
    <w:rsid w:val="00C81435"/>
    <w:rsid w:val="00C912CD"/>
    <w:rsid w:val="00C9312F"/>
    <w:rsid w:val="00CA11E0"/>
    <w:rsid w:val="00CA2610"/>
    <w:rsid w:val="00CA47EE"/>
    <w:rsid w:val="00CD0A76"/>
    <w:rsid w:val="00CD3158"/>
    <w:rsid w:val="00CE1B3B"/>
    <w:rsid w:val="00CE6724"/>
    <w:rsid w:val="00D17BE0"/>
    <w:rsid w:val="00D25CAA"/>
    <w:rsid w:val="00D33867"/>
    <w:rsid w:val="00D35025"/>
    <w:rsid w:val="00D35E1A"/>
    <w:rsid w:val="00D4217F"/>
    <w:rsid w:val="00D447D9"/>
    <w:rsid w:val="00D4692D"/>
    <w:rsid w:val="00D613A0"/>
    <w:rsid w:val="00D74064"/>
    <w:rsid w:val="00D77A01"/>
    <w:rsid w:val="00D80C85"/>
    <w:rsid w:val="00D825F7"/>
    <w:rsid w:val="00D97AFB"/>
    <w:rsid w:val="00DA23CD"/>
    <w:rsid w:val="00DA48DE"/>
    <w:rsid w:val="00DB721E"/>
    <w:rsid w:val="00DF784A"/>
    <w:rsid w:val="00E10F38"/>
    <w:rsid w:val="00E16AEC"/>
    <w:rsid w:val="00E508E7"/>
    <w:rsid w:val="00E65AC2"/>
    <w:rsid w:val="00E92313"/>
    <w:rsid w:val="00EA014F"/>
    <w:rsid w:val="00EA29BA"/>
    <w:rsid w:val="00EA391A"/>
    <w:rsid w:val="00EC4CD2"/>
    <w:rsid w:val="00ED24E3"/>
    <w:rsid w:val="00ED5118"/>
    <w:rsid w:val="00ED64D4"/>
    <w:rsid w:val="00EE21F1"/>
    <w:rsid w:val="00EE335E"/>
    <w:rsid w:val="00EE4743"/>
    <w:rsid w:val="00EF05E9"/>
    <w:rsid w:val="00EF3AA9"/>
    <w:rsid w:val="00EF5599"/>
    <w:rsid w:val="00F02E06"/>
    <w:rsid w:val="00F07268"/>
    <w:rsid w:val="00F270A4"/>
    <w:rsid w:val="00F31DC8"/>
    <w:rsid w:val="00F46C0B"/>
    <w:rsid w:val="00F62EC3"/>
    <w:rsid w:val="00F63A18"/>
    <w:rsid w:val="00F72AAE"/>
    <w:rsid w:val="00F93F61"/>
    <w:rsid w:val="00FA736B"/>
    <w:rsid w:val="00FB1FCA"/>
    <w:rsid w:val="00FD16F3"/>
    <w:rsid w:val="00FD20B0"/>
    <w:rsid w:val="00FD345B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2FB4F4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E479-D573-4487-A6AA-91FCD5D0E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090EA-55DD-44A0-9C34-6E2F6836A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EBEEF50-E31B-4008-AD68-B57DDBB40ADD}">
  <ds:schemaRefs>
    <ds:schemaRef ds:uri="http://schemas.openxmlformats.org/package/2006/metadata/core-properties"/>
    <ds:schemaRef ds:uri="http://purl.org/dc/elements/1.1/"/>
    <ds:schemaRef ds:uri="e3ff784b-5c96-49f9-ad9e-4d289d1c3c25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71D048D-5438-42DF-9728-AAA15BF9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1353</Words>
  <Characters>180</Characters>
  <Application>Microsoft Office Word</Application>
  <DocSecurity>0</DocSecurity>
  <Lines>1</Lines>
  <Paragraphs>3</Paragraphs>
  <ScaleCrop>false</ScaleCrop>
  <Company>正修科技大學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2025-10-17T00:55:00Z</dcterms:created>
  <dcterms:modified xsi:type="dcterms:W3CDTF">2025-11-25T09:09:00Z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